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semKrK za nami. Wróciliśmy do Warszawy z dawką pozytywnych emocji i nowych informacji. Na stoisku prezentowaliśmy nasze usługi i z dumą opowiadaliśmy o nowym module Content Marketingu ✍️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Konferencja semKrK za nami. Wróciliśmy do Warszawy z dawką pozytywnych emocji i nowych informacji. Na stoisku prezentowaliśmy nasze usługi i z dumą opowiadaliśmy o nowym module Content Marketingu ✍️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Każdy kto odwiedził nasze stoisko otrzymał firmowe upominki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Konferencja semKrK za nami. Wróciliśmy do Warszawy z dawką pozytywnych emocji i nowych informacji. Na stoisku prezentowaliśmy nasze usługi i z dumą opowiadaliśmy o nowym module Content Marketingu ✍️</w:t>
      </w:r>
    </w:p>
    <w:p>
      <w:r>
        <w:rPr>
          <w:rFonts w:ascii="calibri" w:hAnsi="calibri" w:eastAsia="calibri" w:cs="calibri"/>
          <w:sz w:val="24"/>
          <w:szCs w:val="24"/>
        </w:rPr>
        <w:t xml:space="preserve">Każdy kto odwiedził nasze stoisko otrzymał firmowe upominki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2025-07-09T14:20:09+02:00</dcterms:created>
  <dcterms:modified xsi:type="dcterms:W3CDTF">2025-07-09T14:20:09+02:00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